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351" w:rsidRDefault="000B462A" w:rsidP="00BD3AA3">
      <w:pPr>
        <w:pStyle w:val="IQB-Aufgabentitel"/>
        <w:spacing w:after="120"/>
        <w:rPr>
          <w:rFonts w:cs="Arial"/>
        </w:rPr>
      </w:pPr>
      <w:r w:rsidRPr="00BD3AA3">
        <w:rPr>
          <w:rFonts w:cs="Arial"/>
        </w:rPr>
        <w:t xml:space="preserve">Didaktische </w:t>
      </w:r>
      <w:r w:rsidR="00647DB8">
        <w:rPr>
          <w:rFonts w:cs="Arial"/>
        </w:rPr>
        <w:t>Kommentierung</w:t>
      </w:r>
      <w:bookmarkStart w:id="0" w:name="_GoBack"/>
      <w:bookmarkEnd w:id="0"/>
      <w:r w:rsidRPr="00BD3AA3">
        <w:rPr>
          <w:rFonts w:cs="Arial"/>
        </w:rPr>
        <w:t xml:space="preserve">: </w:t>
      </w:r>
      <w:r w:rsidR="00483B45" w:rsidRPr="00BD3AA3">
        <w:rPr>
          <w:rFonts w:cs="Arial"/>
        </w:rPr>
        <w:t>Aufgabe</w:t>
      </w:r>
      <w:r w:rsidRPr="00BD3AA3">
        <w:rPr>
          <w:rFonts w:cs="Arial"/>
        </w:rPr>
        <w:t xml:space="preserve"> </w:t>
      </w:r>
      <w:r w:rsidR="00483B45" w:rsidRPr="00BD3AA3">
        <w:rPr>
          <w:rFonts w:cs="Arial"/>
        </w:rPr>
        <w:t>Holzstäbchen</w:t>
      </w:r>
    </w:p>
    <w:p w:rsidR="00BD3AA3" w:rsidRPr="00BD3AA3" w:rsidRDefault="00BD3AA3" w:rsidP="00BD3AA3">
      <w:pPr>
        <w:pStyle w:val="IQB-Aufgabentitel"/>
        <w:spacing w:after="120"/>
        <w:rPr>
          <w:rFonts w:cs="Arial"/>
          <w:sz w:val="22"/>
          <w:szCs w:val="22"/>
        </w:rPr>
      </w:pPr>
    </w:p>
    <w:p w:rsidR="000B462A" w:rsidRPr="00BD3AA3" w:rsidRDefault="000B462A" w:rsidP="00BD3AA3">
      <w:pPr>
        <w:pStyle w:val="IQB-Aufgabentitel"/>
        <w:spacing w:after="120"/>
        <w:rPr>
          <w:rFonts w:cs="Arial"/>
          <w:b/>
          <w:sz w:val="22"/>
          <w:szCs w:val="22"/>
        </w:rPr>
      </w:pPr>
      <w:r w:rsidRPr="00BD3AA3">
        <w:rPr>
          <w:rFonts w:cs="Arial"/>
          <w:b/>
          <w:sz w:val="22"/>
          <w:szCs w:val="22"/>
        </w:rPr>
        <w:t>Aufgabenmerkmale</w:t>
      </w:r>
    </w:p>
    <w:tbl>
      <w:tblPr>
        <w:tblW w:w="9397" w:type="dxa"/>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1939"/>
        <w:gridCol w:w="1939"/>
        <w:gridCol w:w="1939"/>
        <w:gridCol w:w="1939"/>
      </w:tblGrid>
      <w:tr w:rsidR="00782351" w:rsidRPr="00BD3AA3" w:rsidTr="00BD3AA3">
        <w:trPr>
          <w:trHeight w:val="353"/>
        </w:trPr>
        <w:tc>
          <w:tcPr>
            <w:tcW w:w="1982" w:type="dxa"/>
            <w:vAlign w:val="center"/>
          </w:tcPr>
          <w:p w:rsidR="00782351" w:rsidRPr="00BD3AA3" w:rsidRDefault="00483B45" w:rsidP="00BD3AA3">
            <w:pPr>
              <w:pStyle w:val="IQB-Merkmal"/>
              <w:spacing w:before="0" w:after="120"/>
              <w:rPr>
                <w:rFonts w:cs="Arial"/>
                <w:sz w:val="20"/>
                <w:szCs w:val="20"/>
              </w:rPr>
            </w:pPr>
            <w:r w:rsidRPr="00BD3AA3">
              <w:rPr>
                <w:rFonts w:cs="Arial"/>
                <w:sz w:val="20"/>
                <w:szCs w:val="20"/>
              </w:rPr>
              <w:t>Leitidee</w:t>
            </w:r>
          </w:p>
        </w:tc>
        <w:tc>
          <w:tcPr>
            <w:tcW w:w="7415" w:type="dxa"/>
            <w:gridSpan w:val="4"/>
          </w:tcPr>
          <w:p w:rsidR="00782351" w:rsidRPr="00BD3AA3" w:rsidRDefault="00483B45" w:rsidP="00BD3AA3">
            <w:pPr>
              <w:pStyle w:val="IQB-Merkmalswert"/>
              <w:spacing w:before="0" w:after="120"/>
              <w:rPr>
                <w:rFonts w:cs="Arial"/>
                <w:sz w:val="20"/>
                <w:szCs w:val="20"/>
              </w:rPr>
            </w:pPr>
            <w:r w:rsidRPr="00BD3AA3">
              <w:rPr>
                <w:rFonts w:cs="Arial"/>
                <w:sz w:val="20"/>
                <w:szCs w:val="20"/>
              </w:rPr>
              <w:t xml:space="preserve"> Muster und Strukturen</w:t>
            </w:r>
          </w:p>
        </w:tc>
      </w:tr>
      <w:tr w:rsidR="00782351" w:rsidRPr="00BD3AA3" w:rsidTr="00BD3AA3">
        <w:trPr>
          <w:trHeight w:val="353"/>
        </w:trPr>
        <w:tc>
          <w:tcPr>
            <w:tcW w:w="1982" w:type="dxa"/>
          </w:tcPr>
          <w:p w:rsidR="00782351" w:rsidRPr="00BD3AA3" w:rsidRDefault="00483B45" w:rsidP="00BD3AA3">
            <w:pPr>
              <w:pStyle w:val="IQB-Merkmal"/>
              <w:spacing w:before="0" w:after="120"/>
              <w:rPr>
                <w:rFonts w:cs="Arial"/>
                <w:sz w:val="20"/>
                <w:szCs w:val="20"/>
              </w:rPr>
            </w:pPr>
            <w:r w:rsidRPr="00BD3AA3">
              <w:rPr>
                <w:rFonts w:cs="Arial"/>
                <w:sz w:val="20"/>
                <w:szCs w:val="20"/>
              </w:rPr>
              <w:t>Aufgabenmerkmale</w:t>
            </w:r>
          </w:p>
        </w:tc>
        <w:tc>
          <w:tcPr>
            <w:tcW w:w="1854" w:type="dxa"/>
          </w:tcPr>
          <w:p w:rsidR="00782351" w:rsidRPr="00BD3AA3" w:rsidRDefault="00483B45" w:rsidP="00BD3AA3">
            <w:pPr>
              <w:pStyle w:val="IQB-Merkmalswert"/>
              <w:spacing w:before="0" w:after="120"/>
              <w:rPr>
                <w:rFonts w:cs="Arial"/>
                <w:sz w:val="20"/>
                <w:szCs w:val="20"/>
              </w:rPr>
            </w:pPr>
            <w:r w:rsidRPr="00BD3AA3">
              <w:rPr>
                <w:rFonts w:cs="Arial"/>
                <w:sz w:val="20"/>
                <w:szCs w:val="20"/>
              </w:rPr>
              <w:t>1</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2</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3</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4</w:t>
            </w:r>
          </w:p>
        </w:tc>
      </w:tr>
      <w:tr w:rsidR="00782351" w:rsidRPr="00BD3AA3" w:rsidTr="00BD3AA3">
        <w:trPr>
          <w:trHeight w:val="1283"/>
        </w:trPr>
        <w:tc>
          <w:tcPr>
            <w:tcW w:w="1982" w:type="dxa"/>
            <w:vAlign w:val="center"/>
          </w:tcPr>
          <w:p w:rsidR="00782351" w:rsidRPr="00BD3AA3" w:rsidRDefault="00483B45" w:rsidP="00BD3AA3">
            <w:pPr>
              <w:pStyle w:val="IQB-Merkmal"/>
              <w:spacing w:before="0" w:after="120"/>
              <w:rPr>
                <w:rFonts w:cs="Arial"/>
                <w:sz w:val="20"/>
                <w:szCs w:val="20"/>
              </w:rPr>
            </w:pPr>
            <w:r w:rsidRPr="00BD3AA3">
              <w:rPr>
                <w:rFonts w:cs="Arial"/>
                <w:sz w:val="20"/>
                <w:szCs w:val="20"/>
              </w:rPr>
              <w:t>Bildungsstandard/s - Allgemeine Kompetenzen</w:t>
            </w:r>
          </w:p>
        </w:tc>
        <w:tc>
          <w:tcPr>
            <w:tcW w:w="1854"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erkennen, nutzen und auf ähnliche Sachverhalte übertragen</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erkennen, nutzen und auf ähnliche Sachverhalte übertragen</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erkennen, nutzen und auf ähnliche Sachverhalte übertragen</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erkennen, nutzen und auf ähnliche Sachverhalte übertragen</w:t>
            </w:r>
          </w:p>
        </w:tc>
      </w:tr>
      <w:tr w:rsidR="00782351" w:rsidRPr="00BD3AA3" w:rsidTr="00BD3AA3">
        <w:trPr>
          <w:trHeight w:val="4548"/>
        </w:trPr>
        <w:tc>
          <w:tcPr>
            <w:tcW w:w="1982" w:type="dxa"/>
            <w:vAlign w:val="center"/>
          </w:tcPr>
          <w:p w:rsidR="00782351" w:rsidRPr="00BD3AA3" w:rsidRDefault="00483B45" w:rsidP="00BD3AA3">
            <w:pPr>
              <w:pStyle w:val="IQB-Merkmal"/>
              <w:spacing w:before="0" w:after="120"/>
              <w:rPr>
                <w:rFonts w:cs="Arial"/>
                <w:sz w:val="20"/>
                <w:szCs w:val="20"/>
              </w:rPr>
            </w:pPr>
            <w:r w:rsidRPr="00BD3AA3">
              <w:rPr>
                <w:rFonts w:cs="Arial"/>
                <w:sz w:val="20"/>
                <w:szCs w:val="20"/>
              </w:rPr>
              <w:t>Bildungsstandard/s - Inhaltsbezogene Kompetenzen (Leitideen)</w:t>
            </w:r>
          </w:p>
        </w:tc>
        <w:tc>
          <w:tcPr>
            <w:tcW w:w="1854" w:type="dxa"/>
          </w:tcPr>
          <w:p w:rsidR="00782351" w:rsidRPr="00BD3AA3" w:rsidRDefault="00483B45" w:rsidP="00BD3AA3">
            <w:pPr>
              <w:pStyle w:val="IQB-Merkmalswert"/>
              <w:spacing w:before="0" w:after="120"/>
              <w:rPr>
                <w:rFonts w:cs="Arial"/>
                <w:sz w:val="20"/>
                <w:szCs w:val="20"/>
              </w:rPr>
            </w:pPr>
            <w:r w:rsidRPr="00BD3AA3">
              <w:rPr>
                <w:rFonts w:cs="Arial"/>
                <w:sz w:val="20"/>
                <w:szCs w:val="20"/>
              </w:rPr>
              <w:t>Gesetzmäßigkeiten in geometrischen und arithmetischen Mustern (z. B. in Zahlenfolgen oder strukturierten Aufgabenfolgen) erkennen, beschreiben und fortsetzen; arithmetische und geometrische Muster selbst entwickeln, systematisch verändern und beschreiben</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Gesetzmäßigkeiten in geometrischen und arithmetischen Mustern (z. B. in Zahlenfolgen oder strukturierten Aufgabenfolgen) erkennen, beschreiben und fortsetze</w:t>
            </w:r>
            <w:r w:rsidR="00BD3AA3" w:rsidRPr="00BD3AA3">
              <w:rPr>
                <w:rFonts w:cs="Arial"/>
                <w:sz w:val="20"/>
                <w:szCs w:val="20"/>
              </w:rPr>
              <w:t>n</w:t>
            </w:r>
            <w:r w:rsidRPr="00BD3AA3">
              <w:rPr>
                <w:rFonts w:cs="Arial"/>
                <w:sz w:val="20"/>
                <w:szCs w:val="20"/>
              </w:rPr>
              <w:t>; arithmetische und geometrische Muster selbst entwickeln, systematisch verändern und beschreiben</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Gesetzmäßigkeiten in geometrischen und arithmetischen Mustern (z. B. in Zahlenfolgen oder strukturierten Aufgabenfolgen) erkennen, beschreiben und fortsetzen; arithmetische und geometrische Muster selbst entwickeln, systematisch verändern und beschreiben</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Gesetzmäßigkeiten in geometrischen und arithmetischen Mustern (z. B. in Zahlenfolgen oder strukturierten Aufgabenfolgen) erkennen, beschreiben und fortsetzen; arithmetische und geometrische Muster selbst entwickeln, systematisch verändern und beschreiben</w:t>
            </w:r>
          </w:p>
        </w:tc>
      </w:tr>
      <w:tr w:rsidR="00782351" w:rsidRPr="00BD3AA3" w:rsidTr="00BD3AA3">
        <w:trPr>
          <w:trHeight w:val="353"/>
        </w:trPr>
        <w:tc>
          <w:tcPr>
            <w:tcW w:w="1982" w:type="dxa"/>
            <w:vAlign w:val="center"/>
          </w:tcPr>
          <w:p w:rsidR="00782351" w:rsidRPr="00BD3AA3" w:rsidRDefault="00483B45" w:rsidP="00BD3AA3">
            <w:pPr>
              <w:pStyle w:val="IQB-Merkmal"/>
              <w:spacing w:before="0" w:after="120"/>
              <w:rPr>
                <w:rFonts w:cs="Arial"/>
                <w:sz w:val="20"/>
                <w:szCs w:val="20"/>
              </w:rPr>
            </w:pPr>
            <w:r w:rsidRPr="00BD3AA3">
              <w:rPr>
                <w:rFonts w:cs="Arial"/>
                <w:sz w:val="20"/>
                <w:szCs w:val="20"/>
              </w:rPr>
              <w:t>Kompetenzstufe</w:t>
            </w:r>
          </w:p>
        </w:tc>
        <w:tc>
          <w:tcPr>
            <w:tcW w:w="1854" w:type="dxa"/>
          </w:tcPr>
          <w:p w:rsidR="00782351" w:rsidRPr="00BD3AA3" w:rsidRDefault="00483B45" w:rsidP="00BD3AA3">
            <w:pPr>
              <w:pStyle w:val="IQB-Merkmalswert"/>
              <w:spacing w:before="0" w:after="120"/>
              <w:rPr>
                <w:rFonts w:cs="Arial"/>
                <w:sz w:val="20"/>
                <w:szCs w:val="20"/>
              </w:rPr>
            </w:pPr>
            <w:r w:rsidRPr="00BD3AA3">
              <w:rPr>
                <w:rFonts w:cs="Arial"/>
                <w:sz w:val="20"/>
                <w:szCs w:val="20"/>
              </w:rPr>
              <w:t>II</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II</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III</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IV</w:t>
            </w:r>
          </w:p>
        </w:tc>
      </w:tr>
      <w:tr w:rsidR="00782351" w:rsidRPr="00BD3AA3" w:rsidTr="00BD3AA3">
        <w:trPr>
          <w:trHeight w:val="586"/>
        </w:trPr>
        <w:tc>
          <w:tcPr>
            <w:tcW w:w="1982" w:type="dxa"/>
            <w:vAlign w:val="center"/>
          </w:tcPr>
          <w:p w:rsidR="00782351" w:rsidRPr="00BD3AA3" w:rsidRDefault="00483B45" w:rsidP="00BD3AA3">
            <w:pPr>
              <w:pStyle w:val="IQB-Merkmal"/>
              <w:spacing w:before="0" w:after="120"/>
              <w:rPr>
                <w:rFonts w:cs="Arial"/>
                <w:sz w:val="20"/>
                <w:szCs w:val="20"/>
              </w:rPr>
            </w:pPr>
            <w:r w:rsidRPr="00BD3AA3">
              <w:rPr>
                <w:rFonts w:cs="Arial"/>
                <w:sz w:val="20"/>
                <w:szCs w:val="20"/>
              </w:rPr>
              <w:t>Anforderungsbereich</w:t>
            </w:r>
          </w:p>
        </w:tc>
        <w:tc>
          <w:tcPr>
            <w:tcW w:w="1854"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herstellen (II)</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herstellen (II)</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herstellen (II)</w:t>
            </w:r>
          </w:p>
        </w:tc>
        <w:tc>
          <w:tcPr>
            <w:tcW w:w="1853" w:type="dxa"/>
          </w:tcPr>
          <w:p w:rsidR="00782351" w:rsidRPr="00BD3AA3" w:rsidRDefault="00483B45" w:rsidP="00BD3AA3">
            <w:pPr>
              <w:pStyle w:val="IQB-Merkmalswert"/>
              <w:spacing w:before="0" w:after="120"/>
              <w:rPr>
                <w:rFonts w:cs="Arial"/>
                <w:sz w:val="20"/>
                <w:szCs w:val="20"/>
              </w:rPr>
            </w:pPr>
            <w:r w:rsidRPr="00BD3AA3">
              <w:rPr>
                <w:rFonts w:cs="Arial"/>
                <w:sz w:val="20"/>
                <w:szCs w:val="20"/>
              </w:rPr>
              <w:t>Zusammenhänge herstellen (II)</w:t>
            </w:r>
          </w:p>
        </w:tc>
      </w:tr>
    </w:tbl>
    <w:p w:rsidR="00BD3AA3" w:rsidRDefault="00BD3AA3" w:rsidP="00BD3AA3">
      <w:pPr>
        <w:spacing w:after="120"/>
        <w:rPr>
          <w:rFonts w:ascii="Arial" w:hAnsi="Arial" w:cs="Arial"/>
          <w:sz w:val="22"/>
          <w:szCs w:val="22"/>
        </w:rPr>
      </w:pPr>
    </w:p>
    <w:p w:rsidR="00BD3AA3" w:rsidRPr="00BD3AA3" w:rsidRDefault="00BD3AA3" w:rsidP="00BD3AA3">
      <w:pPr>
        <w:spacing w:after="120"/>
        <w:rPr>
          <w:rFonts w:ascii="Arial" w:hAnsi="Arial" w:cs="Arial"/>
          <w:b/>
          <w:sz w:val="22"/>
          <w:szCs w:val="22"/>
        </w:rPr>
      </w:pPr>
      <w:r w:rsidRPr="00BD3AA3">
        <w:rPr>
          <w:rFonts w:ascii="Arial" w:hAnsi="Arial" w:cs="Arial"/>
          <w:b/>
          <w:sz w:val="22"/>
          <w:szCs w:val="22"/>
        </w:rPr>
        <w:t>Didaktischer Kommentar</w:t>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Die Kinder müssen das Bildungsgesetz einer geometrischen und einer analogen arithmetischen Folge erkennen.</w:t>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Bei Teilaufgabe a besteht die Anforderung darin, die geometrische Folge um das nächste Glied zeichnerisch fortzusetzen.</w:t>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 xml:space="preserve">Bei Teilaufgabe b besteht die Anforderung darin, die nächste Gleichung in der Folge zu finden und aufzuschreiben. Dabei können die Kinder das Bildungsgesetz aus den vorangehenden Gleichungen ableiten oder zur Unterstützung auch die darüber befindliche geometrische Struktur heranziehen. </w:t>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 xml:space="preserve">Bei Teilaufgabe c muss sowohl die geometrische Folge um die nächste Figur zeichnerisch fortgesetzt als auch die nächste Gleichung in der Folge aufgeschrieben werden. </w:t>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 xml:space="preserve">In Teilaufgabe d besteht die Anforderung darin, das Bildungsgesetz der geometrischen Folge mit Hilfe einer im Wesentlichen vorgegebenen Teilformulierung zu erfassen und zu beschreiben. </w:t>
      </w:r>
    </w:p>
    <w:p w:rsidR="00BD3AA3" w:rsidRDefault="00BD3AA3" w:rsidP="00BD3AA3">
      <w:pPr>
        <w:spacing w:after="120"/>
        <w:rPr>
          <w:rFonts w:ascii="Arial" w:hAnsi="Arial" w:cs="Arial"/>
          <w:sz w:val="22"/>
          <w:szCs w:val="22"/>
        </w:rPr>
      </w:pPr>
    </w:p>
    <w:p w:rsidR="00BD3AA3" w:rsidRPr="00BD3AA3" w:rsidRDefault="00BD3AA3" w:rsidP="00BD3AA3">
      <w:pPr>
        <w:spacing w:after="120"/>
        <w:rPr>
          <w:rFonts w:ascii="Arial" w:hAnsi="Arial" w:cs="Arial"/>
          <w:sz w:val="22"/>
          <w:szCs w:val="22"/>
        </w:rPr>
      </w:pPr>
    </w:p>
    <w:p w:rsidR="00BD3AA3" w:rsidRPr="00BD3AA3" w:rsidRDefault="00BD3AA3" w:rsidP="00BD3AA3">
      <w:pPr>
        <w:spacing w:after="120"/>
        <w:rPr>
          <w:rFonts w:ascii="Arial" w:hAnsi="Arial" w:cs="Arial"/>
          <w:b/>
          <w:sz w:val="22"/>
          <w:szCs w:val="22"/>
        </w:rPr>
      </w:pPr>
      <w:r w:rsidRPr="00BD3AA3">
        <w:rPr>
          <w:rFonts w:ascii="Arial" w:hAnsi="Arial" w:cs="Arial"/>
          <w:b/>
          <w:sz w:val="22"/>
          <w:szCs w:val="22"/>
        </w:rPr>
        <w:lastRenderedPageBreak/>
        <w:t>Anregungen für den Unterricht</w:t>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Vor dem Fortsetzen oder Ergänzen von Mustern dieser Art sollte der Zusammenhang zwischen Bild und zugehöriger Gleichung geklärt werden. Dazu wäre es möglich, verschiedene Gleichungen vorzugeben und die Kinder müssen herausfinden, welche Gleichung zu welcher bildhaften Darstellung passt und dies begründen.</w:t>
      </w:r>
    </w:p>
    <w:p w:rsidR="00BD3AA3" w:rsidRDefault="00BD3AA3" w:rsidP="00BD3AA3">
      <w:pPr>
        <w:spacing w:after="120"/>
        <w:rPr>
          <w:rFonts w:ascii="Arial" w:hAnsi="Arial" w:cs="Arial"/>
          <w:i/>
          <w:sz w:val="22"/>
          <w:szCs w:val="22"/>
        </w:rPr>
      </w:pPr>
      <w:r w:rsidRPr="00BD3AA3">
        <w:rPr>
          <w:rFonts w:ascii="Arial" w:hAnsi="Arial" w:cs="Arial"/>
          <w:i/>
          <w:sz w:val="22"/>
          <w:szCs w:val="22"/>
        </w:rPr>
        <w:t>Beispiel:</w:t>
      </w:r>
    </w:p>
    <w:p w:rsidR="00483B45" w:rsidRPr="002E4D14" w:rsidRDefault="002E4D14" w:rsidP="00BD3AA3">
      <w:pPr>
        <w:spacing w:after="120"/>
        <w:rPr>
          <w:rFonts w:ascii="Arial" w:hAnsi="Arial" w:cs="Arial"/>
          <w:i/>
          <w:sz w:val="22"/>
          <w:szCs w:val="22"/>
        </w:rPr>
      </w:pPr>
      <w:r>
        <w:rPr>
          <w:noProof/>
        </w:rPr>
        <w:drawing>
          <wp:inline distT="0" distB="0" distL="0" distR="0">
            <wp:extent cx="5187950" cy="1638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87950" cy="1638300"/>
                    </a:xfrm>
                    <a:prstGeom prst="rect">
                      <a:avLst/>
                    </a:prstGeom>
                    <a:noFill/>
                    <a:ln>
                      <a:noFill/>
                    </a:ln>
                  </pic:spPr>
                </pic:pic>
              </a:graphicData>
            </a:graphic>
          </wp:inline>
        </w:drawing>
      </w:r>
    </w:p>
    <w:p w:rsidR="00BD3AA3" w:rsidRPr="00BD3AA3" w:rsidRDefault="00BD3AA3" w:rsidP="00BD3AA3">
      <w:pPr>
        <w:spacing w:after="120"/>
        <w:rPr>
          <w:rFonts w:ascii="Arial" w:hAnsi="Arial" w:cs="Arial"/>
          <w:sz w:val="22"/>
          <w:szCs w:val="22"/>
        </w:rPr>
      </w:pPr>
      <w:r w:rsidRPr="00BD3AA3">
        <w:rPr>
          <w:rFonts w:ascii="Arial" w:hAnsi="Arial" w:cs="Arial"/>
          <w:sz w:val="22"/>
          <w:szCs w:val="22"/>
        </w:rPr>
        <w:t>Die Muster können mit Hölzchen nachgelegt werden, um die Aufgaben zu finden bzw. zu erklären.</w:t>
      </w:r>
    </w:p>
    <w:p w:rsidR="00BD3AA3" w:rsidRPr="00483B45" w:rsidRDefault="00BD3AA3" w:rsidP="00BD3AA3">
      <w:pPr>
        <w:spacing w:after="120"/>
        <w:rPr>
          <w:rFonts w:ascii="Arial" w:hAnsi="Arial" w:cs="Arial"/>
          <w:i/>
          <w:sz w:val="22"/>
          <w:szCs w:val="22"/>
        </w:rPr>
      </w:pPr>
      <w:r w:rsidRPr="00483B45">
        <w:rPr>
          <w:rFonts w:ascii="Arial" w:hAnsi="Arial" w:cs="Arial"/>
          <w:i/>
          <w:sz w:val="22"/>
          <w:szCs w:val="22"/>
        </w:rPr>
        <w:t>Ein Beispiel für eine ähnliche geometrische Folge kann sein:</w:t>
      </w:r>
    </w:p>
    <w:p w:rsidR="00BD3AA3" w:rsidRDefault="002E4D14" w:rsidP="00BD3AA3">
      <w:pPr>
        <w:spacing w:after="120"/>
        <w:rPr>
          <w:rFonts w:ascii="Arial" w:hAnsi="Arial" w:cs="Arial"/>
          <w:sz w:val="22"/>
          <w:szCs w:val="22"/>
        </w:rPr>
      </w:pPr>
      <w:r>
        <w:rPr>
          <w:noProof/>
        </w:rPr>
        <w:drawing>
          <wp:inline distT="0" distB="0" distL="0" distR="0">
            <wp:extent cx="5073650" cy="1352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3650" cy="1352550"/>
                    </a:xfrm>
                    <a:prstGeom prst="rect">
                      <a:avLst/>
                    </a:prstGeom>
                    <a:noFill/>
                    <a:ln>
                      <a:noFill/>
                    </a:ln>
                  </pic:spPr>
                </pic:pic>
              </a:graphicData>
            </a:graphic>
          </wp:inline>
        </w:drawing>
      </w:r>
    </w:p>
    <w:p w:rsidR="002E4D14" w:rsidRPr="002E4D14" w:rsidRDefault="002E4D14" w:rsidP="00BD3AA3">
      <w:pPr>
        <w:spacing w:after="120"/>
        <w:rPr>
          <w:rFonts w:ascii="Arial" w:hAnsi="Arial" w:cs="Arial"/>
          <w:sz w:val="10"/>
          <w:szCs w:val="10"/>
        </w:rPr>
      </w:pPr>
    </w:p>
    <w:p w:rsidR="00BD3AA3" w:rsidRDefault="00BD3AA3" w:rsidP="00BD3AA3">
      <w:pPr>
        <w:pStyle w:val="Listenabsatz"/>
        <w:numPr>
          <w:ilvl w:val="0"/>
          <w:numId w:val="3"/>
        </w:numPr>
        <w:spacing w:after="120"/>
        <w:rPr>
          <w:rFonts w:ascii="Arial" w:hAnsi="Arial" w:cs="Arial"/>
          <w:sz w:val="22"/>
          <w:szCs w:val="22"/>
        </w:rPr>
      </w:pPr>
      <w:r w:rsidRPr="00BD3AA3">
        <w:rPr>
          <w:rFonts w:ascii="Arial" w:hAnsi="Arial" w:cs="Arial"/>
          <w:sz w:val="22"/>
          <w:szCs w:val="22"/>
        </w:rPr>
        <w:t xml:space="preserve">Die Kinder legen zuerst mit Hölzchen die vierte (und fünfte) Figur. </w:t>
      </w:r>
    </w:p>
    <w:p w:rsidR="00BD3AA3" w:rsidRDefault="00BD3AA3" w:rsidP="00BD3AA3">
      <w:pPr>
        <w:pStyle w:val="Listenabsatz"/>
        <w:numPr>
          <w:ilvl w:val="0"/>
          <w:numId w:val="3"/>
        </w:numPr>
        <w:spacing w:after="120"/>
        <w:rPr>
          <w:rFonts w:ascii="Arial" w:hAnsi="Arial" w:cs="Arial"/>
          <w:sz w:val="22"/>
          <w:szCs w:val="22"/>
        </w:rPr>
      </w:pPr>
      <w:r w:rsidRPr="00BD3AA3">
        <w:rPr>
          <w:rFonts w:ascii="Arial" w:hAnsi="Arial" w:cs="Arial"/>
          <w:sz w:val="22"/>
          <w:szCs w:val="22"/>
        </w:rPr>
        <w:t xml:space="preserve">Sie beschreiben das Bildungsgesetz der geometrischen Folge. </w:t>
      </w:r>
    </w:p>
    <w:p w:rsidR="00BD3AA3" w:rsidRDefault="00BD3AA3" w:rsidP="00BD3AA3">
      <w:pPr>
        <w:pStyle w:val="Listenabsatz"/>
        <w:numPr>
          <w:ilvl w:val="0"/>
          <w:numId w:val="3"/>
        </w:numPr>
        <w:spacing w:after="120"/>
        <w:rPr>
          <w:rFonts w:ascii="Arial" w:hAnsi="Arial" w:cs="Arial"/>
          <w:sz w:val="22"/>
          <w:szCs w:val="22"/>
        </w:rPr>
      </w:pPr>
      <w:r w:rsidRPr="00BD3AA3">
        <w:rPr>
          <w:rFonts w:ascii="Arial" w:hAnsi="Arial" w:cs="Arial"/>
          <w:sz w:val="22"/>
          <w:szCs w:val="22"/>
        </w:rPr>
        <w:t xml:space="preserve">Sie finden die Gleichung für die vierte Gleichung. </w:t>
      </w:r>
    </w:p>
    <w:p w:rsidR="00BD3AA3" w:rsidRPr="00BD3AA3" w:rsidRDefault="00BD3AA3" w:rsidP="00BD3AA3">
      <w:pPr>
        <w:pStyle w:val="Listenabsatz"/>
        <w:numPr>
          <w:ilvl w:val="0"/>
          <w:numId w:val="3"/>
        </w:numPr>
        <w:spacing w:after="120"/>
        <w:rPr>
          <w:rFonts w:ascii="Arial" w:hAnsi="Arial" w:cs="Arial"/>
          <w:sz w:val="22"/>
          <w:szCs w:val="22"/>
        </w:rPr>
      </w:pPr>
      <w:r w:rsidRPr="00BD3AA3">
        <w:rPr>
          <w:rFonts w:ascii="Arial" w:hAnsi="Arial" w:cs="Arial"/>
          <w:sz w:val="22"/>
          <w:szCs w:val="22"/>
        </w:rPr>
        <w:t>Sie beschreiben den Zusammenhang von geometrischen Figuren und Gleichungen.</w:t>
      </w:r>
    </w:p>
    <w:p w:rsidR="00BD3AA3" w:rsidRPr="00BD3AA3" w:rsidRDefault="00BD3AA3" w:rsidP="00BD3AA3">
      <w:pPr>
        <w:spacing w:after="120"/>
        <w:rPr>
          <w:rFonts w:ascii="Arial" w:hAnsi="Arial" w:cs="Arial"/>
          <w:sz w:val="22"/>
          <w:szCs w:val="22"/>
        </w:rPr>
      </w:pPr>
    </w:p>
    <w:p w:rsidR="002957C9" w:rsidRPr="00BD3AA3" w:rsidRDefault="00BD3AA3" w:rsidP="00BD3AA3">
      <w:pPr>
        <w:spacing w:after="120"/>
        <w:rPr>
          <w:rFonts w:ascii="Arial" w:hAnsi="Arial" w:cs="Arial"/>
        </w:rPr>
      </w:pPr>
      <w:r w:rsidRPr="00BD3AA3">
        <w:rPr>
          <w:rFonts w:ascii="Arial" w:hAnsi="Arial" w:cs="Arial"/>
          <w:sz w:val="22"/>
          <w:szCs w:val="22"/>
        </w:rPr>
        <w:t>Schließlich können die Kinder dazu animiert werden, selbst ähnliche geometrische Folgen zu erfinden und sie darzustellen. Diese legen sie anderen Kindern vor, die das Bildungsgesetz dann beschreiben und die Gleichungen dazu finden</w:t>
      </w:r>
      <w:r w:rsidRPr="00BD3AA3">
        <w:rPr>
          <w:rFonts w:ascii="Arial" w:hAnsi="Arial" w:cs="Arial"/>
        </w:rPr>
        <w:t>.</w:t>
      </w:r>
    </w:p>
    <w:sectPr w:rsidR="002957C9" w:rsidRPr="00BD3AA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62A" w:rsidRDefault="000B462A" w:rsidP="000B462A">
      <w:r>
        <w:separator/>
      </w:r>
    </w:p>
  </w:endnote>
  <w:endnote w:type="continuationSeparator" w:id="0">
    <w:p w:rsidR="000B462A" w:rsidRDefault="000B462A" w:rsidP="000B4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62A" w:rsidRDefault="000B46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62A" w:rsidRDefault="000B462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62A" w:rsidRDefault="000B46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62A" w:rsidRDefault="000B462A" w:rsidP="000B462A">
      <w:r>
        <w:separator/>
      </w:r>
    </w:p>
  </w:footnote>
  <w:footnote w:type="continuationSeparator" w:id="0">
    <w:p w:rsidR="000B462A" w:rsidRDefault="000B462A" w:rsidP="000B4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62A" w:rsidRDefault="000B46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62A" w:rsidRDefault="000B462A">
    <w:pPr>
      <w:pStyle w:val="Kopfzeile"/>
    </w:pPr>
    <w:r>
      <w:rPr>
        <w:noProof/>
      </w:rPr>
      <w:drawing>
        <wp:inline distT="0" distB="0" distL="0" distR="0" wp14:anchorId="3241FAB7" wp14:editId="236CBFC0">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62A" w:rsidRDefault="000B46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451DE6"/>
    <w:multiLevelType w:val="hybridMultilevel"/>
    <w:tmpl w:val="92D6A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B462A"/>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957C9"/>
    <w:rsid w:val="002D1B6E"/>
    <w:rsid w:val="002E4D14"/>
    <w:rsid w:val="00304067"/>
    <w:rsid w:val="00304DCD"/>
    <w:rsid w:val="003A1C8B"/>
    <w:rsid w:val="003A496B"/>
    <w:rsid w:val="003C7D61"/>
    <w:rsid w:val="003D7948"/>
    <w:rsid w:val="00483B45"/>
    <w:rsid w:val="004D1DCE"/>
    <w:rsid w:val="004F70C4"/>
    <w:rsid w:val="00566351"/>
    <w:rsid w:val="0061709D"/>
    <w:rsid w:val="00647DB8"/>
    <w:rsid w:val="00666933"/>
    <w:rsid w:val="00692E69"/>
    <w:rsid w:val="006C29B7"/>
    <w:rsid w:val="00753D68"/>
    <w:rsid w:val="00756CB3"/>
    <w:rsid w:val="00782351"/>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BD3AA3"/>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E066F5"/>
  <w15:docId w15:val="{DB6A1FA4-4200-45C6-B960-FB3DDC11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0B462A"/>
    <w:pPr>
      <w:tabs>
        <w:tab w:val="center" w:pos="4536"/>
        <w:tab w:val="right" w:pos="9072"/>
      </w:tabs>
    </w:pPr>
  </w:style>
  <w:style w:type="character" w:customStyle="1" w:styleId="KopfzeileZchn">
    <w:name w:val="Kopfzeile Zchn"/>
    <w:basedOn w:val="Absatz-Standardschriftart"/>
    <w:link w:val="Kopfzeile"/>
    <w:rsid w:val="000B462A"/>
    <w:rPr>
      <w:sz w:val="24"/>
      <w:szCs w:val="24"/>
    </w:rPr>
  </w:style>
  <w:style w:type="paragraph" w:styleId="Fuzeile">
    <w:name w:val="footer"/>
    <w:basedOn w:val="Standard"/>
    <w:link w:val="FuzeileZchn"/>
    <w:unhideWhenUsed/>
    <w:rsid w:val="000B462A"/>
    <w:pPr>
      <w:tabs>
        <w:tab w:val="center" w:pos="4536"/>
        <w:tab w:val="right" w:pos="9072"/>
      </w:tabs>
    </w:pPr>
  </w:style>
  <w:style w:type="character" w:customStyle="1" w:styleId="FuzeileZchn">
    <w:name w:val="Fußzeile Zchn"/>
    <w:basedOn w:val="Absatz-Standardschriftart"/>
    <w:link w:val="Fuzeile"/>
    <w:rsid w:val="000B462A"/>
    <w:rPr>
      <w:sz w:val="24"/>
      <w:szCs w:val="24"/>
    </w:rPr>
  </w:style>
  <w:style w:type="paragraph" w:styleId="Listenabsatz">
    <w:name w:val="List Paragraph"/>
    <w:basedOn w:val="Standard"/>
    <w:uiPriority w:val="34"/>
    <w:qFormat/>
    <w:rsid w:val="00BD3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3109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